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586C4" w14:textId="0BC1F943" w:rsidR="005E1D3B" w:rsidRDefault="00AB7686">
      <w:r w:rsidRPr="00AB7686">
        <w:rPr>
          <w:b/>
          <w:bCs/>
          <w:i/>
          <w:iCs/>
        </w:rPr>
        <w:t>Re St. Mary Radcliffe-on-Trent</w:t>
      </w:r>
      <w:r w:rsidRPr="00AB7686">
        <w:rPr>
          <w:b/>
          <w:bCs/>
        </w:rPr>
        <w:t xml:space="preserve"> </w:t>
      </w:r>
      <w:hyperlink r:id="rId5" w:tgtFrame="_blank" w:history="1">
        <w:r w:rsidRPr="00AB7686">
          <w:rPr>
            <w:rStyle w:val="Hyperlink"/>
            <w:b/>
            <w:bCs/>
          </w:rPr>
          <w:t>[2026] ECC S&amp;N 1</w:t>
        </w:r>
      </w:hyperlink>
    </w:p>
    <w:p w14:paraId="70E454E5" w14:textId="1801071E" w:rsidR="00AB7686" w:rsidRPr="00AB7686" w:rsidRDefault="00AB7686">
      <w:pPr>
        <w:rPr>
          <w:b/>
          <w:bCs/>
        </w:rPr>
      </w:pPr>
      <w:r w:rsidRPr="00AB7686">
        <w:rPr>
          <w:b/>
          <w:bCs/>
          <w:i/>
          <w:iCs/>
        </w:rPr>
        <w:t>Re St. Mary Radcliffe-on-Trent</w:t>
      </w:r>
      <w:r>
        <w:rPr>
          <w:b/>
          <w:bCs/>
        </w:rPr>
        <w:t xml:space="preserve">, </w:t>
      </w:r>
      <w:r w:rsidRPr="00AB7686">
        <w:rPr>
          <w:b/>
          <w:bCs/>
        </w:rPr>
        <w:t>House of Bishops’ Guidance on Fonts</w:t>
      </w:r>
    </w:p>
    <w:p w14:paraId="1BC397A2" w14:textId="3EC38B37" w:rsidR="001047E4" w:rsidRDefault="001047E4" w:rsidP="001047E4">
      <w:r>
        <w:t>[</w:t>
      </w:r>
      <w:r>
        <w:t>20</w:t>
      </w:r>
      <w:r>
        <w:t>]</w:t>
      </w:r>
      <w:r>
        <w:t>.</w:t>
      </w:r>
      <w:r>
        <w:t xml:space="preserve"> </w:t>
      </w:r>
      <w:r>
        <w:t>There follows the comment that those judgments show that ‘given the fact that our Church has never before permitted more than one permanent font in a church, pastoral pressure has played a considerable part and that there was little theological base from which to work’.</w:t>
      </w:r>
    </w:p>
    <w:p w14:paraId="5362E29A" w14:textId="35C13FDA" w:rsidR="00AB7686" w:rsidRDefault="001047E4" w:rsidP="001047E4">
      <w:r>
        <w:t>[</w:t>
      </w:r>
      <w:r>
        <w:t>21</w:t>
      </w:r>
      <w:r>
        <w:t>]</w:t>
      </w:r>
      <w:r>
        <w:t>.</w:t>
      </w:r>
      <w:r>
        <w:t xml:space="preserve"> </w:t>
      </w:r>
      <w:r>
        <w:t>The questions and their answers then follow, as section 2 of the Guidance. I set out the parts that deal with the possibility of having a second font in a church. I omit the parts dealing with the position of the font, and those that envisage a single font large enough to permit immersion of adults as not directly relevant to this Petition, although I return to the latter possibility below.</w:t>
      </w:r>
    </w:p>
    <w:p w14:paraId="1D3BA012" w14:textId="77777777" w:rsidR="007E2812" w:rsidRDefault="007E2812" w:rsidP="007E2812">
      <w:r>
        <w:t>(</w:t>
      </w:r>
      <w:proofErr w:type="spellStart"/>
      <w:r>
        <w:t>i</w:t>
      </w:r>
      <w:proofErr w:type="spellEnd"/>
      <w:r>
        <w:t xml:space="preserve">) </w:t>
      </w:r>
      <w:r w:rsidRPr="007E2812">
        <w:rPr>
          <w:i/>
          <w:iCs/>
        </w:rPr>
        <w:t>Is it the view of the bishops that the legal requirement of a font with a cover, in a fixed position, should be the only facility for Baptism in a church?</w:t>
      </w:r>
      <w:r>
        <w:t xml:space="preserve"> [Answer:] This has always been the view of the Church of England. Examples can be taken from the past, when there was pressure to use basin-type fonts of a moveable sort. Elizabethan Visitation Articles insist on the use of the Church's proper font, which should not be moveable. (See Archbishop Parker's directions in this matter.)</w:t>
      </w:r>
    </w:p>
    <w:p w14:paraId="17843802" w14:textId="77777777" w:rsidR="00695EF4" w:rsidRDefault="00392CF2" w:rsidP="007E2812">
      <w:r>
        <w:t xml:space="preserve"> </w:t>
      </w:r>
      <w:r w:rsidRPr="00392CF2">
        <w:t xml:space="preserve">(ii) </w:t>
      </w:r>
      <w:r w:rsidRPr="00392CF2">
        <w:rPr>
          <w:i/>
          <w:iCs/>
        </w:rPr>
        <w:t>If so, does it not follow that the provision of a portable font or of a pool should not be allowed?</w:t>
      </w:r>
      <w:r w:rsidRPr="00392CF2">
        <w:t xml:space="preserve"> [Answer:] To have more than one font should be regarded essentially as an anomaly, necessary under certain circumstances, but not to be encouraged. The import thing at present is to promote a deeper awareness of the theology of baptism which is based on the traditional methods of immersion and affusion, and.to provide practical examples of how baptism might be administered in different ways. Total submersion seems to be a more recent addition. However, it is interesting to note that in the case of infants, the Book of Common Prayer</w:t>
      </w:r>
      <w:r w:rsidR="00093567">
        <w:t xml:space="preserve"> </w:t>
      </w:r>
      <w:r w:rsidR="00093567" w:rsidRPr="00093567">
        <w:t xml:space="preserve">contemplates dipping as the normal method, the rubric in Public Baptism of . Today, as Chancellor Garth Moore observed in his book </w:t>
      </w:r>
      <w:r w:rsidR="00093567" w:rsidRPr="00695EF4">
        <w:rPr>
          <w:b/>
          <w:bCs/>
        </w:rPr>
        <w:t xml:space="preserve">"Introduction to Canon Law", [1967 </w:t>
      </w:r>
      <w:proofErr w:type="spellStart"/>
      <w:r w:rsidR="00093567" w:rsidRPr="00695EF4">
        <w:rPr>
          <w:b/>
          <w:bCs/>
        </w:rPr>
        <w:t>edn</w:t>
      </w:r>
      <w:proofErr w:type="spellEnd"/>
      <w:r w:rsidR="00093567" w:rsidRPr="00695EF4">
        <w:rPr>
          <w:b/>
          <w:bCs/>
        </w:rPr>
        <w:t>, p 69],</w:t>
      </w:r>
      <w:r w:rsidR="00093567" w:rsidRPr="00093567">
        <w:t xml:space="preserve"> </w:t>
      </w:r>
      <w:r w:rsidR="00093567" w:rsidRPr="00695EF4">
        <w:rPr>
          <w:i/>
          <w:iCs/>
        </w:rPr>
        <w:t>"it seems to be assumed that nearly every child is weak, for immersion is in practice the exception rather than the rule". In the case of adults it would seem that the Prayer Book expresses no preference between immersion and affusion</w:t>
      </w:r>
      <w:r w:rsidR="00093567" w:rsidRPr="00093567">
        <w:t xml:space="preserve">. [see above at para 15 ] Nevertheless, no one method is any better than another, nor more biblical. </w:t>
      </w:r>
    </w:p>
    <w:p w14:paraId="1D77C548" w14:textId="42B612BC" w:rsidR="00695EF4" w:rsidRDefault="00093567" w:rsidP="007E2812">
      <w:r w:rsidRPr="00695EF4">
        <w:rPr>
          <w:i/>
          <w:iCs/>
        </w:rPr>
        <w:t>(iii) In any event is it agreed that there can be only one font?</w:t>
      </w:r>
      <w:r w:rsidRPr="00093567">
        <w:t xml:space="preserve"> [Answer:] That should be the aim. There is an important ecclesiological background to such a position. One baptism once only is the teaching of the Church from earliest times, and archaeology witnesses to the importance of a significant font from the time when churches first started being erected. It is true that methods of baptism have varied, according to the three rough categories indicated previously, to which a fourth category, aspersion, could be added as a Post-Reformation fashion in northern climes. This variety has gone hand in hand with variations in eucharistic theology and practice, which led to patterns as diverse as the multiplicity of side-chapels for Guild Masses in medieval times, and today's freestanding altars in the central space. But there are two essential differences. First, the eucharist is celebrated in a variety of contexts, and is a necessarily repeatable sacrament. People are baptised only once. Consequently, while it is one thing to have a variety of altars - though good liturgical practice says not more than one per room - it is quite another to offer a multiplicity of fonts which might be taken to indicate different sorts of baptism, each administered in their own way, from their own font. The cognoscenti may themselves understand one Baptism as the official teaching of the Church. What ordinary people will actually 'hear' from such practices is bound to be different. In the kind of consumer, post-</w:t>
      </w:r>
      <w:proofErr w:type="spellStart"/>
      <w:r w:rsidRPr="00093567">
        <w:t>christendom</w:t>
      </w:r>
      <w:proofErr w:type="spellEnd"/>
      <w:r w:rsidRPr="00093567">
        <w:t xml:space="preserve"> society of today, it would seem injudicious to appear to provide potential, if not actual, pastoral confusion at this vital point in people's lives. Church </w:t>
      </w:r>
      <w:r w:rsidRPr="00093567">
        <w:lastRenderedPageBreak/>
        <w:t xml:space="preserve">buildings have a proclamatory life of their own apart from the confines of public worship. </w:t>
      </w:r>
      <w:r w:rsidR="00D417D5">
        <w:t xml:space="preserve">A </w:t>
      </w:r>
      <w:r w:rsidR="00D417D5" w:rsidRPr="00D417D5">
        <w:t>second reason for adhering to one font as the norm is the possible wedge that</w:t>
      </w:r>
      <w:r w:rsidR="00D417D5">
        <w:t xml:space="preserve"> </w:t>
      </w:r>
      <w:r w:rsidRPr="00093567">
        <w:t xml:space="preserve">might be driven between 'christening infants' and 'baptising adults'. … </w:t>
      </w:r>
    </w:p>
    <w:p w14:paraId="4934F2CD" w14:textId="4E74AFDE" w:rsidR="00093567" w:rsidRDefault="00093567" w:rsidP="007E2812">
      <w:r w:rsidRPr="00695EF4">
        <w:rPr>
          <w:i/>
          <w:iCs/>
        </w:rPr>
        <w:t>(vi) When application is made for additional facilities … would the Bishops welcome a decision by the Chancellors not to grant such applications unless the Petitioners produce an episcopal authority for what is sought (as is common in the case of Reservation)?</w:t>
      </w:r>
      <w:r w:rsidRPr="00093567">
        <w:t xml:space="preserve"> [Answer:] There may be certain circumstances where it is almost unavoidable to install an additional font, e.g. in a building which houses an historic font from an era in which minimalistic use of water led to designs which are inflexible in this regard …. Mention has been made of the different modes of performing baptism. It is important to note that history does not come down on one method exclusively, until the Anabaptist controversy in the 16th and 17th centuries, when submersion was regarded by that group as the only ‘biblical' way of doing baptism. There are those today who hold to this view. While it reflects most completely the imagery of Rom 6.3-11 (dying and rising in Christ), the other infants stating that if "the child is weak it shall suffice to pour water upon it'</w:t>
      </w:r>
      <w:r w:rsidR="00180296">
        <w:t xml:space="preserve">, </w:t>
      </w:r>
      <w:r w:rsidR="00180296" w:rsidRPr="00180296">
        <w:t>methods have their own biblical warrant, too. Affusion tells of divine adoption (Jn 3:5). Immersion speaks of passing 'from an old life to a new (Gal 3:27, 2 Cor 5:17). …</w:t>
      </w:r>
    </w:p>
    <w:p w14:paraId="430A214D" w14:textId="21AD7BFC" w:rsidR="00AD152A" w:rsidRDefault="00AD152A" w:rsidP="007E2812">
      <w:r w:rsidRPr="00AD152A">
        <w:t>An age like our own that is recovering so much of the symbolic character of liturgy, both in word and act, needs to avoid possible confusion over the way baptism is performed and understood. Historians of the future will doubtless see the twentieth century's enthusiasm for lashings of baptismal water as a natural (and perhaps unconscious) reaction to the minimalistic token of sprinkling, which is often at the heart of the folk religion that has been inherited. The thrust of this paper is to point to a large, single font in which baptism can be administered in the three ways indicated previously. This we impenitently regard as the coming norm. However, churches have their own momentum, both in terms of developing liturgical practice, and in ways in which their liturgical furniture is adapted to changing pastoral needs. In the immediate future, we hope that sufficient fonts of this style can be encouraged in key parishes (and all cathedrals?) throughout the dioceses.’</w:t>
      </w:r>
    </w:p>
    <w:p w14:paraId="6675AB9C" w14:textId="521EC656" w:rsidR="002E0F09" w:rsidRDefault="002E0F09" w:rsidP="002E0F09">
      <w:r>
        <w:t>[</w:t>
      </w:r>
      <w:r>
        <w:t>22</w:t>
      </w:r>
      <w:r>
        <w:t>]</w:t>
      </w:r>
      <w:r>
        <w:t>.</w:t>
      </w:r>
      <w:r>
        <w:t xml:space="preserve"> </w:t>
      </w:r>
      <w:r>
        <w:t>The third section of the Guidance is its conclusion, which is that if the principles set out in the previous section (including, as has been seen, the ‘coming norm’ of a single large font in which the rite of baptism can be performed in all the traditional ways) are to be adopted, there are the following corollaries.</w:t>
      </w:r>
      <w:r>
        <w:t xml:space="preserve"> </w:t>
      </w:r>
    </w:p>
    <w:p w14:paraId="2463B393" w14:textId="77777777" w:rsidR="006766F5" w:rsidRDefault="006766F5" w:rsidP="006766F5">
      <w:pPr>
        <w:ind w:left="720"/>
      </w:pPr>
      <w:r w:rsidRPr="006766F5">
        <w:t>‘First, the Church needs to affirm yet again, that there is one baptism, and that the way in which it is performed varies from one tradition to another. The Canons quoted above are the Church's collective memory in the process of safeguarding baptism from being hijacked by one particular group within the Church. It may be that bishops need to give a lead in teaching the importance of lavish symbolism, as well as the theology of baptism, and what it is supposed to convey in the way of God's free gift of grace.</w:t>
      </w:r>
    </w:p>
    <w:p w14:paraId="70844D5E" w14:textId="77777777" w:rsidR="006766F5" w:rsidRDefault="006766F5" w:rsidP="006766F5">
      <w:pPr>
        <w:ind w:left="720"/>
      </w:pPr>
      <w:r w:rsidRPr="006766F5">
        <w:t xml:space="preserve">Secondly, the Church needs to adopt this policy of one font per church building as the norm. Anything else must be an anomaly. In order to implement this principle, which has the overwhelming weight of tradition behind it, as well as pastoral commonsense, DACs and Diocesan Worship Committees need to have an open and informed discussion about the ordering of new churches as well as the reordering of old ones. As Anglicans, our buildings are, as a rule, public and open, so that our liturgical furniture speaks silently to all who enter, even when no liturgy is being celebrated. </w:t>
      </w:r>
    </w:p>
    <w:p w14:paraId="305F26DB" w14:textId="148A22AF" w:rsidR="002E0F09" w:rsidRDefault="006766F5" w:rsidP="006766F5">
      <w:pPr>
        <w:ind w:left="720"/>
      </w:pPr>
      <w:r w:rsidRPr="006766F5">
        <w:t>Thirdly, the Church needs to come to terms with the fact that we are living through a time which could be described as ‘The Baptism Movement',</w:t>
      </w:r>
      <w:r>
        <w:t xml:space="preserve"> </w:t>
      </w:r>
      <w:r w:rsidR="00A65CFA" w:rsidRPr="00A65CFA">
        <w:t>as our predecessors lived through 'The Parish Communion Movement’. …’</w:t>
      </w:r>
    </w:p>
    <w:sectPr w:rsidR="002E0F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330252"/>
    <w:multiLevelType w:val="hybridMultilevel"/>
    <w:tmpl w:val="4A2291BA"/>
    <w:lvl w:ilvl="0" w:tplc="19869C7C">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6BB25055"/>
    <w:multiLevelType w:val="multilevel"/>
    <w:tmpl w:val="1AF6CC02"/>
    <w:lvl w:ilvl="0">
      <w:start w:val="1"/>
      <w:numFmt w:val="decimal"/>
      <w:pStyle w:val="dpSty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323509224">
    <w:abstractNumId w:val="0"/>
  </w:num>
  <w:num w:numId="2" w16cid:durableId="105691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686"/>
    <w:rsid w:val="00093567"/>
    <w:rsid w:val="000D56C7"/>
    <w:rsid w:val="001047E4"/>
    <w:rsid w:val="00180296"/>
    <w:rsid w:val="002E0F09"/>
    <w:rsid w:val="00346378"/>
    <w:rsid w:val="00392CF2"/>
    <w:rsid w:val="003B50F6"/>
    <w:rsid w:val="004B078A"/>
    <w:rsid w:val="005E1D3B"/>
    <w:rsid w:val="006766F5"/>
    <w:rsid w:val="00695EF4"/>
    <w:rsid w:val="006E488B"/>
    <w:rsid w:val="007E2812"/>
    <w:rsid w:val="009725E6"/>
    <w:rsid w:val="00A65CFA"/>
    <w:rsid w:val="00AB7686"/>
    <w:rsid w:val="00AD152A"/>
    <w:rsid w:val="00B06E46"/>
    <w:rsid w:val="00C3222A"/>
    <w:rsid w:val="00C719E0"/>
    <w:rsid w:val="00D417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9816"/>
  <w15:chartTrackingRefBased/>
  <w15:docId w15:val="{5DA70A6A-8540-4417-9180-4FD076314E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E46"/>
    <w:pPr>
      <w:spacing w:after="120" w:line="240" w:lineRule="auto"/>
      <w:jc w:val="both"/>
    </w:pPr>
    <w:rPr>
      <w:rFonts w:ascii="Book Antiqua" w:hAnsi="Book Antiqua"/>
    </w:rPr>
  </w:style>
  <w:style w:type="paragraph" w:styleId="Heading1">
    <w:name w:val="heading 1"/>
    <w:basedOn w:val="Normal"/>
    <w:next w:val="Normal"/>
    <w:link w:val="Heading1Char"/>
    <w:uiPriority w:val="9"/>
    <w:qFormat/>
    <w:rsid w:val="00AB76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76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768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768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AB768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AB768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B768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B768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B768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pStyl">
    <w:name w:val="dp Styl"/>
    <w:basedOn w:val="ListParagraph"/>
    <w:link w:val="dpStylChar"/>
    <w:autoRedefine/>
    <w:qFormat/>
    <w:rsid w:val="00C719E0"/>
    <w:pPr>
      <w:numPr>
        <w:numId w:val="2"/>
      </w:numPr>
      <w:shd w:val="clear" w:color="auto" w:fill="FFFFFF"/>
      <w:ind w:left="0"/>
      <w:contextualSpacing w:val="0"/>
      <w:textAlignment w:val="baseline"/>
    </w:pPr>
    <w:rPr>
      <w:rFonts w:cs="Helvetica"/>
      <w:color w:val="373737"/>
    </w:rPr>
  </w:style>
  <w:style w:type="character" w:customStyle="1" w:styleId="dpStylChar">
    <w:name w:val="dp Styl Char"/>
    <w:basedOn w:val="DefaultParagraphFont"/>
    <w:link w:val="dpStyl"/>
    <w:rsid w:val="00C719E0"/>
    <w:rPr>
      <w:rFonts w:ascii="Book Antiqua" w:hAnsi="Book Antiqua" w:cs="Helvetica"/>
      <w:color w:val="373737"/>
      <w:shd w:val="clear" w:color="auto" w:fill="FFFFFF"/>
    </w:rPr>
  </w:style>
  <w:style w:type="paragraph" w:styleId="ListParagraph">
    <w:name w:val="List Paragraph"/>
    <w:basedOn w:val="Normal"/>
    <w:uiPriority w:val="34"/>
    <w:qFormat/>
    <w:rsid w:val="00C719E0"/>
    <w:pPr>
      <w:ind w:left="720"/>
      <w:contextualSpacing/>
    </w:pPr>
  </w:style>
  <w:style w:type="character" w:customStyle="1" w:styleId="Heading1Char">
    <w:name w:val="Heading 1 Char"/>
    <w:basedOn w:val="DefaultParagraphFont"/>
    <w:link w:val="Heading1"/>
    <w:uiPriority w:val="9"/>
    <w:rsid w:val="00AB76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76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76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76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76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76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76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76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7686"/>
    <w:rPr>
      <w:rFonts w:eastAsiaTheme="majorEastAsia" w:cstheme="majorBidi"/>
      <w:color w:val="272727" w:themeColor="text1" w:themeTint="D8"/>
    </w:rPr>
  </w:style>
  <w:style w:type="paragraph" w:styleId="Title">
    <w:name w:val="Title"/>
    <w:basedOn w:val="Normal"/>
    <w:next w:val="Normal"/>
    <w:link w:val="TitleChar"/>
    <w:uiPriority w:val="10"/>
    <w:qFormat/>
    <w:rsid w:val="00AB768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76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7686"/>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76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768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B7686"/>
    <w:rPr>
      <w:rFonts w:ascii="Book Antiqua" w:hAnsi="Book Antiqua"/>
      <w:i/>
      <w:iCs/>
      <w:color w:val="404040" w:themeColor="text1" w:themeTint="BF"/>
    </w:rPr>
  </w:style>
  <w:style w:type="character" w:styleId="IntenseEmphasis">
    <w:name w:val="Intense Emphasis"/>
    <w:basedOn w:val="DefaultParagraphFont"/>
    <w:uiPriority w:val="21"/>
    <w:qFormat/>
    <w:rsid w:val="00AB7686"/>
    <w:rPr>
      <w:i/>
      <w:iCs/>
      <w:color w:val="0F4761" w:themeColor="accent1" w:themeShade="BF"/>
    </w:rPr>
  </w:style>
  <w:style w:type="paragraph" w:styleId="IntenseQuote">
    <w:name w:val="Intense Quote"/>
    <w:basedOn w:val="Normal"/>
    <w:next w:val="Normal"/>
    <w:link w:val="IntenseQuoteChar"/>
    <w:uiPriority w:val="30"/>
    <w:qFormat/>
    <w:rsid w:val="00AB76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7686"/>
    <w:rPr>
      <w:rFonts w:ascii="Book Antiqua" w:hAnsi="Book Antiqua"/>
      <w:i/>
      <w:iCs/>
      <w:color w:val="0F4761" w:themeColor="accent1" w:themeShade="BF"/>
    </w:rPr>
  </w:style>
  <w:style w:type="character" w:styleId="IntenseReference">
    <w:name w:val="Intense Reference"/>
    <w:basedOn w:val="DefaultParagraphFont"/>
    <w:uiPriority w:val="32"/>
    <w:qFormat/>
    <w:rsid w:val="00AB7686"/>
    <w:rPr>
      <w:b/>
      <w:bCs/>
      <w:smallCaps/>
      <w:color w:val="0F4761" w:themeColor="accent1" w:themeShade="BF"/>
      <w:spacing w:val="5"/>
    </w:rPr>
  </w:style>
  <w:style w:type="character" w:styleId="Hyperlink">
    <w:name w:val="Hyperlink"/>
    <w:basedOn w:val="DefaultParagraphFont"/>
    <w:uiPriority w:val="99"/>
    <w:unhideWhenUsed/>
    <w:rsid w:val="00AB7686"/>
    <w:rPr>
      <w:color w:val="467886" w:themeColor="hyperlink"/>
      <w:u w:val="single"/>
    </w:rPr>
  </w:style>
  <w:style w:type="character" w:styleId="UnresolvedMention">
    <w:name w:val="Unresolved Mention"/>
    <w:basedOn w:val="DefaultParagraphFont"/>
    <w:uiPriority w:val="99"/>
    <w:semiHidden/>
    <w:unhideWhenUsed/>
    <w:rsid w:val="00AB76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lawandreligionuk.com/wp-content/uploads/2026/09/Re-St.-Mary-Radcliffe-on-Trent-2026-ECC-SN-1.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1245</Words>
  <Characters>7099</Characters>
  <Application>Microsoft Office Word</Application>
  <DocSecurity>0</DocSecurity>
  <Lines>59</Lines>
  <Paragraphs>16</Paragraphs>
  <ScaleCrop>false</ScaleCrop>
  <Company/>
  <LinksUpToDate>false</LinksUpToDate>
  <CharactersWithSpaces>8328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Pocklington</dc:creator>
  <cp:keywords/>
  <dc:description/>
  <cp:lastModifiedBy>David Pocklington</cp:lastModifiedBy>
  <cp:revision>15</cp:revision>
  <dcterms:created xsi:type="dcterms:W3CDTF">2026-09-23T07:07:00Z</dcterms:created>
  <dcterms:modified xsi:type="dcterms:W3CDTF">2026-09-23T07:42:00Z</dcterms:modified>
</cp:coreProperties>
</file>